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EC3FB" w14:textId="77777777" w:rsidR="000B3EEB" w:rsidRPr="00157A83" w:rsidRDefault="00160A9A">
      <w:pPr>
        <w:pBdr>
          <w:top w:val="nil"/>
          <w:left w:val="nil"/>
          <w:bottom w:val="nil"/>
          <w:right w:val="nil"/>
          <w:between w:val="nil"/>
        </w:pBdr>
        <w:ind w:left="-270" w:right="-270"/>
        <w:jc w:val="center"/>
        <w:rPr>
          <w:rFonts w:ascii="Avenir Book" w:eastAsia="Avenir" w:hAnsi="Avenir Book" w:cs="Avenir"/>
          <w:sz w:val="22"/>
          <w:szCs w:val="22"/>
        </w:rPr>
      </w:pPr>
      <w:r w:rsidRPr="00157A83">
        <w:rPr>
          <w:rFonts w:ascii="Avenir Book" w:eastAsia="Avenir" w:hAnsi="Avenir Book" w:cs="Avenir"/>
          <w:sz w:val="22"/>
          <w:szCs w:val="22"/>
        </w:rPr>
        <w:t xml:space="preserve">Questions or clarifications: </w:t>
      </w:r>
    </w:p>
    <w:p w14:paraId="174129AF" w14:textId="77777777" w:rsidR="000B3EEB" w:rsidRPr="00157A83" w:rsidRDefault="00160A9A">
      <w:pPr>
        <w:pBdr>
          <w:top w:val="nil"/>
          <w:left w:val="nil"/>
          <w:bottom w:val="nil"/>
          <w:right w:val="nil"/>
          <w:between w:val="nil"/>
        </w:pBdr>
        <w:ind w:left="-270" w:right="-270"/>
        <w:jc w:val="center"/>
        <w:rPr>
          <w:rFonts w:ascii="Avenir Book" w:eastAsia="Avenir" w:hAnsi="Avenir Book" w:cs="Avenir"/>
          <w:sz w:val="22"/>
          <w:szCs w:val="22"/>
        </w:rPr>
      </w:pPr>
      <w:r w:rsidRPr="00157A83">
        <w:rPr>
          <w:rFonts w:ascii="Avenir Book" w:eastAsia="Avenir" w:hAnsi="Avenir Book" w:cs="Avenir"/>
          <w:sz w:val="22"/>
          <w:szCs w:val="22"/>
        </w:rPr>
        <w:t>Email Chris Filler (</w:t>
      </w:r>
      <w:hyperlink r:id="rId8">
        <w:r w:rsidRPr="00157A83">
          <w:rPr>
            <w:rFonts w:ascii="Avenir Book" w:eastAsia="Avenir" w:hAnsi="Avenir Book" w:cs="Avenir"/>
            <w:sz w:val="22"/>
            <w:szCs w:val="22"/>
            <w:u w:val="single"/>
          </w:rPr>
          <w:t>Chris_filler@ocali.org</w:t>
        </w:r>
      </w:hyperlink>
      <w:r w:rsidRPr="00157A83">
        <w:rPr>
          <w:rFonts w:ascii="Avenir Book" w:eastAsia="Avenir" w:hAnsi="Avenir Book" w:cs="Avenir"/>
          <w:sz w:val="22"/>
          <w:szCs w:val="22"/>
        </w:rPr>
        <w:t>) or Sue Beck (</w:t>
      </w:r>
      <w:hyperlink r:id="rId9">
        <w:r w:rsidRPr="00157A83">
          <w:rPr>
            <w:rFonts w:ascii="Avenir Book" w:eastAsia="Avenir" w:hAnsi="Avenir Book" w:cs="Avenir"/>
            <w:sz w:val="22"/>
            <w:szCs w:val="22"/>
            <w:u w:val="single"/>
          </w:rPr>
          <w:t>Sue_Beck@ocali.org</w:t>
        </w:r>
      </w:hyperlink>
      <w:r w:rsidRPr="00157A83">
        <w:rPr>
          <w:rFonts w:ascii="Avenir Book" w:eastAsia="Avenir" w:hAnsi="Avenir Book" w:cs="Avenir"/>
          <w:sz w:val="22"/>
          <w:szCs w:val="22"/>
        </w:rPr>
        <w:t xml:space="preserve">)  </w:t>
      </w:r>
    </w:p>
    <w:p w14:paraId="39E8EC94" w14:textId="77777777" w:rsidR="000B3EEB" w:rsidRPr="00157A83" w:rsidRDefault="000B3EEB">
      <w:pPr>
        <w:pBdr>
          <w:top w:val="nil"/>
          <w:left w:val="nil"/>
          <w:bottom w:val="nil"/>
          <w:right w:val="nil"/>
          <w:between w:val="nil"/>
        </w:pBdr>
        <w:ind w:left="-270" w:right="-270"/>
        <w:jc w:val="center"/>
        <w:rPr>
          <w:rFonts w:ascii="Avenir Book" w:eastAsia="Avenir" w:hAnsi="Avenir Book" w:cs="Avenir"/>
          <w:sz w:val="22"/>
          <w:szCs w:val="22"/>
        </w:rPr>
      </w:pPr>
    </w:p>
    <w:p w14:paraId="37C8AC1E" w14:textId="77777777" w:rsidR="000B3EEB" w:rsidRPr="00157A83" w:rsidRDefault="00160A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 Book" w:eastAsia="Avenir" w:hAnsi="Avenir Book" w:cs="Avenir"/>
          <w:b/>
          <w:sz w:val="22"/>
          <w:szCs w:val="22"/>
        </w:rPr>
      </w:pPr>
      <w:r w:rsidRPr="00157A83">
        <w:rPr>
          <w:rFonts w:ascii="Avenir Book" w:eastAsia="Avenir" w:hAnsi="Avenir Book" w:cs="Avenir"/>
          <w:b/>
          <w:sz w:val="22"/>
          <w:szCs w:val="22"/>
        </w:rPr>
        <w:t>The Journey Website</w:t>
      </w:r>
      <w:r w:rsidRPr="00157A83">
        <w:rPr>
          <w:rFonts w:ascii="Avenir Book" w:eastAsia="Avenir" w:hAnsi="Avenir Book" w:cs="Avenir"/>
          <w:b/>
          <w:sz w:val="22"/>
          <w:szCs w:val="22"/>
        </w:rPr>
        <w:tab/>
      </w:r>
    </w:p>
    <w:p w14:paraId="287FBB7D" w14:textId="77777777" w:rsidR="000B3EEB" w:rsidRPr="00157A83" w:rsidRDefault="00160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 Book" w:eastAsia="Avenir" w:hAnsi="Avenir Book" w:cs="Avenir"/>
          <w:sz w:val="22"/>
          <w:szCs w:val="22"/>
        </w:rPr>
      </w:pPr>
      <w:r w:rsidRPr="00157A83">
        <w:rPr>
          <w:rFonts w:ascii="Avenir Book" w:eastAsia="Avenir" w:hAnsi="Avenir Book" w:cs="Avenir"/>
          <w:sz w:val="22"/>
          <w:szCs w:val="22"/>
        </w:rPr>
        <w:t>A series of brief webinars spotlighting transition planning tools and resources</w:t>
      </w:r>
    </w:p>
    <w:p w14:paraId="474873EA" w14:textId="77777777" w:rsidR="000B3EEB" w:rsidRPr="00157A83" w:rsidRDefault="006F3A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 Book" w:eastAsia="Avenir" w:hAnsi="Avenir Book" w:cs="Avenir"/>
          <w:sz w:val="22"/>
          <w:szCs w:val="22"/>
        </w:rPr>
      </w:pPr>
      <w:hyperlink r:id="rId10">
        <w:r w:rsidR="00160A9A" w:rsidRPr="00157A83">
          <w:rPr>
            <w:rFonts w:ascii="Avenir Book" w:eastAsia="Avenir" w:hAnsi="Avenir Book" w:cs="Avenir"/>
            <w:sz w:val="22"/>
            <w:szCs w:val="22"/>
            <w:u w:val="single"/>
          </w:rPr>
          <w:t>https://ohioemploymentfirst.org/view.php?nav_id=484</w:t>
        </w:r>
      </w:hyperlink>
    </w:p>
    <w:p w14:paraId="4193B91D" w14:textId="77777777" w:rsidR="000B3EEB" w:rsidRPr="00157A83" w:rsidRDefault="000B3E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venir Book" w:eastAsia="Avenir" w:hAnsi="Avenir Book" w:cs="Avenir"/>
          <w:sz w:val="22"/>
          <w:szCs w:val="22"/>
          <w:highlight w:val="white"/>
        </w:rPr>
      </w:pPr>
    </w:p>
    <w:p w14:paraId="5B3176F5" w14:textId="77777777" w:rsidR="000B3EEB" w:rsidRPr="00157A83" w:rsidRDefault="00160A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venir Book" w:eastAsia="Avenir" w:hAnsi="Avenir Book" w:cs="Avenir"/>
          <w:sz w:val="22"/>
          <w:szCs w:val="22"/>
        </w:rPr>
      </w:pPr>
      <w:r w:rsidRPr="00157A83">
        <w:rPr>
          <w:rFonts w:ascii="Avenir Book" w:eastAsia="Avenir" w:hAnsi="Avenir Book" w:cs="Avenir"/>
          <w:b/>
          <w:sz w:val="22"/>
          <w:szCs w:val="22"/>
          <w:highlight w:val="white"/>
        </w:rPr>
        <w:t xml:space="preserve">Dr. Erik Carter. </w:t>
      </w:r>
    </w:p>
    <w:p w14:paraId="13AD84A6" w14:textId="77777777" w:rsidR="000B3EEB" w:rsidRPr="00157A83" w:rsidRDefault="00160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venir Book" w:eastAsia="Avenir" w:hAnsi="Avenir Book" w:cs="Avenir"/>
          <w:sz w:val="22"/>
          <w:szCs w:val="22"/>
        </w:rPr>
      </w:pPr>
      <w:r w:rsidRPr="00157A83">
        <w:rPr>
          <w:rFonts w:ascii="Avenir Book" w:eastAsia="Avenir" w:hAnsi="Avenir Book" w:cs="Avenir"/>
          <w:sz w:val="22"/>
          <w:szCs w:val="22"/>
          <w:highlight w:val="white"/>
        </w:rPr>
        <w:t xml:space="preserve">Cornelius Vanderbilt Professor of Special Education at Vanderbilt University. Learn more about Dr. Carter, his writings and project on his website </w:t>
      </w:r>
    </w:p>
    <w:p w14:paraId="02C6A083" w14:textId="77777777" w:rsidR="000B3EEB" w:rsidRPr="00157A83" w:rsidRDefault="006F3A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venir Book" w:eastAsia="Avenir" w:hAnsi="Avenir Book" w:cs="Avenir"/>
          <w:sz w:val="22"/>
          <w:szCs w:val="22"/>
          <w:highlight w:val="white"/>
        </w:rPr>
      </w:pPr>
      <w:hyperlink r:id="rId11">
        <w:r w:rsidR="00160A9A" w:rsidRPr="00157A83">
          <w:rPr>
            <w:rFonts w:ascii="Avenir Book" w:eastAsia="Avenir" w:hAnsi="Avenir Book" w:cs="Avenir"/>
            <w:sz w:val="22"/>
            <w:szCs w:val="22"/>
            <w:highlight w:val="white"/>
            <w:u w:val="single"/>
          </w:rPr>
          <w:t>https://www.erikwcarter.com/</w:t>
        </w:r>
      </w:hyperlink>
    </w:p>
    <w:p w14:paraId="19086AA7" w14:textId="77777777" w:rsidR="000B3EEB" w:rsidRPr="00157A83" w:rsidRDefault="000B3E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venir Book" w:eastAsia="Avenir" w:hAnsi="Avenir Book" w:cs="Avenir"/>
          <w:sz w:val="22"/>
          <w:szCs w:val="22"/>
          <w:highlight w:val="white"/>
        </w:rPr>
      </w:pPr>
    </w:p>
    <w:p w14:paraId="72F050D3" w14:textId="77777777" w:rsidR="000B3EEB" w:rsidRPr="00157A83" w:rsidRDefault="00160A9A">
      <w:pPr>
        <w:widowControl w:val="0"/>
        <w:numPr>
          <w:ilvl w:val="0"/>
          <w:numId w:val="1"/>
        </w:numPr>
        <w:spacing w:line="216" w:lineRule="auto"/>
        <w:rPr>
          <w:rFonts w:ascii="Avenir Book" w:eastAsia="Avenir" w:hAnsi="Avenir Book" w:cs="Avenir"/>
          <w:b/>
          <w:sz w:val="22"/>
          <w:szCs w:val="22"/>
          <w:highlight w:val="white"/>
        </w:rPr>
      </w:pPr>
      <w:r w:rsidRPr="00157A83">
        <w:rPr>
          <w:rFonts w:ascii="Avenir Book" w:eastAsia="Avenir" w:hAnsi="Avenir Book" w:cs="Avenir"/>
          <w:b/>
          <w:sz w:val="22"/>
          <w:szCs w:val="22"/>
        </w:rPr>
        <w:t>Career Discovery Tools</w:t>
      </w:r>
    </w:p>
    <w:p w14:paraId="08599C6D" w14:textId="77777777" w:rsidR="000B3EEB" w:rsidRPr="00157A83" w:rsidRDefault="00160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venir Book" w:eastAsia="Avenir" w:hAnsi="Avenir Book" w:cs="Avenir"/>
          <w:sz w:val="22"/>
          <w:szCs w:val="22"/>
          <w:highlight w:val="white"/>
        </w:rPr>
      </w:pPr>
      <w:r w:rsidRPr="00157A83">
        <w:rPr>
          <w:rFonts w:ascii="Avenir Book" w:eastAsia="Avenir" w:hAnsi="Avenir Book" w:cs="Avenir"/>
          <w:sz w:val="22"/>
          <w:szCs w:val="22"/>
        </w:rPr>
        <w:t>Exploring what it takes for employment success</w:t>
      </w:r>
    </w:p>
    <w:p w14:paraId="70D2B91E" w14:textId="77777777" w:rsidR="000B3EEB" w:rsidRPr="00157A83" w:rsidRDefault="006F3A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venir Book" w:eastAsia="Avenir" w:hAnsi="Avenir Book" w:cs="Avenir"/>
          <w:sz w:val="22"/>
          <w:szCs w:val="22"/>
          <w:highlight w:val="white"/>
        </w:rPr>
      </w:pPr>
      <w:hyperlink r:id="rId12">
        <w:r w:rsidR="00160A9A" w:rsidRPr="00157A83">
          <w:rPr>
            <w:rFonts w:ascii="Avenir Book" w:eastAsia="Avenir" w:hAnsi="Avenir Book" w:cs="Avenir"/>
            <w:sz w:val="22"/>
            <w:szCs w:val="22"/>
            <w:highlight w:val="white"/>
            <w:u w:val="single"/>
          </w:rPr>
          <w:t>https://ohioemploymentfirst.org/up_doc/Career_Discovery_Tools_Updated.pdf</w:t>
        </w:r>
      </w:hyperlink>
    </w:p>
    <w:p w14:paraId="5F14A497" w14:textId="77777777" w:rsidR="000B3EEB" w:rsidRPr="00157A83" w:rsidRDefault="000B3E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venir Book" w:eastAsia="Avenir" w:hAnsi="Avenir Book" w:cs="Avenir"/>
          <w:sz w:val="22"/>
          <w:szCs w:val="22"/>
          <w:highlight w:val="white"/>
        </w:rPr>
      </w:pPr>
    </w:p>
    <w:p w14:paraId="35FB15E3" w14:textId="77777777" w:rsidR="000B3EEB" w:rsidRPr="00157A83" w:rsidRDefault="00160A9A">
      <w:pPr>
        <w:widowControl w:val="0"/>
        <w:numPr>
          <w:ilvl w:val="0"/>
          <w:numId w:val="1"/>
        </w:numPr>
        <w:spacing w:line="216" w:lineRule="auto"/>
        <w:rPr>
          <w:rFonts w:ascii="Avenir Book" w:eastAsia="Avenir" w:hAnsi="Avenir Book" w:cs="Avenir"/>
          <w:b/>
          <w:sz w:val="22"/>
          <w:szCs w:val="22"/>
          <w:highlight w:val="white"/>
        </w:rPr>
      </w:pPr>
      <w:r w:rsidRPr="00157A83">
        <w:rPr>
          <w:rFonts w:ascii="Avenir Book" w:eastAsia="Avenir" w:hAnsi="Avenir Book" w:cs="Avenir"/>
          <w:b/>
          <w:sz w:val="22"/>
          <w:szCs w:val="22"/>
        </w:rPr>
        <w:t>Transition Assessment Planning for Students with Significant Disabilities</w:t>
      </w:r>
    </w:p>
    <w:p w14:paraId="7C8387EB" w14:textId="77777777" w:rsidR="000B3EEB" w:rsidRPr="00157A83" w:rsidRDefault="00160A9A">
      <w:pPr>
        <w:widowControl w:val="0"/>
        <w:numPr>
          <w:ilvl w:val="1"/>
          <w:numId w:val="1"/>
        </w:numPr>
        <w:spacing w:line="216" w:lineRule="auto"/>
        <w:rPr>
          <w:rFonts w:ascii="Avenir Book" w:eastAsia="Avenir" w:hAnsi="Avenir Book" w:cs="Avenir"/>
          <w:sz w:val="22"/>
          <w:szCs w:val="22"/>
        </w:rPr>
      </w:pPr>
      <w:r w:rsidRPr="00157A83">
        <w:rPr>
          <w:rFonts w:ascii="Avenir Book" w:eastAsia="Avenir" w:hAnsi="Avenir Book" w:cs="Avenir"/>
          <w:sz w:val="22"/>
          <w:szCs w:val="22"/>
        </w:rPr>
        <w:t>A Matrix for considering a comprehensive array of possible skill areas for assessment</w:t>
      </w:r>
    </w:p>
    <w:p w14:paraId="5D023622" w14:textId="77777777" w:rsidR="000B3EEB" w:rsidRPr="00157A83" w:rsidRDefault="006F3A69">
      <w:pPr>
        <w:widowControl w:val="0"/>
        <w:numPr>
          <w:ilvl w:val="1"/>
          <w:numId w:val="1"/>
        </w:numPr>
        <w:spacing w:line="216" w:lineRule="auto"/>
        <w:rPr>
          <w:rFonts w:ascii="Avenir Book" w:eastAsia="Avenir" w:hAnsi="Avenir Book" w:cs="Avenir"/>
          <w:sz w:val="22"/>
          <w:szCs w:val="22"/>
          <w:highlight w:val="white"/>
        </w:rPr>
      </w:pPr>
      <w:hyperlink r:id="rId13">
        <w:r w:rsidR="00160A9A" w:rsidRPr="00157A83">
          <w:rPr>
            <w:rFonts w:ascii="Avenir Book" w:eastAsia="Avenir" w:hAnsi="Avenir Book" w:cs="Avenir"/>
            <w:sz w:val="22"/>
            <w:szCs w:val="22"/>
            <w:u w:val="single"/>
          </w:rPr>
          <w:t>https://www.transitioncoalition.org/wp-content/originalSiteAssets/files/docs/TranAssessSDPlanningform11-21-20091259891426.pd</w:t>
        </w:r>
      </w:hyperlink>
      <w:hyperlink r:id="rId14">
        <w:r w:rsidR="00160A9A" w:rsidRPr="00157A83">
          <w:rPr>
            <w:rFonts w:ascii="Avenir Book" w:eastAsia="Avenir" w:hAnsi="Avenir Book" w:cs="Avenir"/>
            <w:sz w:val="22"/>
            <w:szCs w:val="22"/>
            <w:u w:val="single"/>
          </w:rPr>
          <w:t>f</w:t>
        </w:r>
      </w:hyperlink>
      <w:r w:rsidR="00160A9A" w:rsidRPr="00157A83">
        <w:rPr>
          <w:rFonts w:ascii="Avenir Book" w:eastAsia="Avenir" w:hAnsi="Avenir Book" w:cs="Avenir"/>
          <w:sz w:val="22"/>
          <w:szCs w:val="22"/>
        </w:rPr>
        <w:t xml:space="preserve"> </w:t>
      </w:r>
    </w:p>
    <w:p w14:paraId="38E3A89E" w14:textId="77777777" w:rsidR="000B3EEB" w:rsidRPr="00157A83" w:rsidRDefault="00160A9A">
      <w:pPr>
        <w:widowControl w:val="0"/>
        <w:spacing w:line="216" w:lineRule="auto"/>
        <w:rPr>
          <w:rFonts w:ascii="Avenir Book" w:eastAsia="Avenir" w:hAnsi="Avenir Book" w:cs="Avenir"/>
          <w:sz w:val="22"/>
          <w:szCs w:val="22"/>
        </w:rPr>
      </w:pPr>
      <w:r w:rsidRPr="00157A83">
        <w:rPr>
          <w:rFonts w:ascii="Avenir Book" w:eastAsia="Avenir" w:hAnsi="Avenir Book" w:cs="Avenir"/>
          <w:sz w:val="22"/>
          <w:szCs w:val="22"/>
        </w:rPr>
        <w:t xml:space="preserve"> </w:t>
      </w:r>
    </w:p>
    <w:p w14:paraId="10C88F51" w14:textId="77777777" w:rsidR="000B3EEB" w:rsidRPr="00157A83" w:rsidRDefault="00160A9A">
      <w:pPr>
        <w:widowControl w:val="0"/>
        <w:numPr>
          <w:ilvl w:val="0"/>
          <w:numId w:val="1"/>
        </w:numPr>
        <w:spacing w:line="216" w:lineRule="auto"/>
        <w:rPr>
          <w:rFonts w:ascii="Avenir Book" w:eastAsia="Avenir" w:hAnsi="Avenir Book" w:cs="Avenir"/>
          <w:b/>
          <w:sz w:val="22"/>
          <w:szCs w:val="22"/>
        </w:rPr>
      </w:pPr>
      <w:r w:rsidRPr="00157A83">
        <w:rPr>
          <w:rFonts w:ascii="Avenir Book" w:eastAsia="Avenir" w:hAnsi="Avenir Book" w:cs="Avenir"/>
          <w:b/>
          <w:sz w:val="22"/>
          <w:szCs w:val="22"/>
        </w:rPr>
        <w:t>Personal Preferences Indicators</w:t>
      </w:r>
    </w:p>
    <w:p w14:paraId="792EC8B3" w14:textId="77777777" w:rsidR="000B3EEB" w:rsidRPr="00157A83" w:rsidRDefault="00160A9A">
      <w:pPr>
        <w:widowControl w:val="0"/>
        <w:numPr>
          <w:ilvl w:val="1"/>
          <w:numId w:val="1"/>
        </w:numPr>
        <w:spacing w:line="216" w:lineRule="auto"/>
        <w:rPr>
          <w:rFonts w:ascii="Avenir Book" w:eastAsia="Avenir" w:hAnsi="Avenir Book" w:cs="Avenir"/>
          <w:sz w:val="22"/>
          <w:szCs w:val="22"/>
        </w:rPr>
      </w:pPr>
      <w:r w:rsidRPr="00157A83">
        <w:rPr>
          <w:rFonts w:ascii="Avenir Book" w:eastAsia="Avenir" w:hAnsi="Avenir Book" w:cs="Avenir"/>
          <w:sz w:val="22"/>
          <w:szCs w:val="22"/>
        </w:rPr>
        <w:t xml:space="preserve">A different format for a </w:t>
      </w:r>
      <w:proofErr w:type="gramStart"/>
      <w:r w:rsidRPr="00157A83">
        <w:rPr>
          <w:rFonts w:ascii="Avenir Book" w:eastAsia="Avenir" w:hAnsi="Avenir Book" w:cs="Avenir"/>
          <w:sz w:val="22"/>
          <w:szCs w:val="22"/>
        </w:rPr>
        <w:t>comprehensive sets of skills</w:t>
      </w:r>
      <w:proofErr w:type="gramEnd"/>
      <w:r w:rsidRPr="00157A83">
        <w:rPr>
          <w:rFonts w:ascii="Avenir Book" w:eastAsia="Avenir" w:hAnsi="Avenir Book" w:cs="Avenir"/>
          <w:sz w:val="22"/>
          <w:szCs w:val="22"/>
        </w:rPr>
        <w:t xml:space="preserve"> to review</w:t>
      </w:r>
    </w:p>
    <w:p w14:paraId="12D676AA" w14:textId="77777777" w:rsidR="000B3EEB" w:rsidRPr="00157A83" w:rsidRDefault="006F3A69">
      <w:pPr>
        <w:widowControl w:val="0"/>
        <w:numPr>
          <w:ilvl w:val="1"/>
          <w:numId w:val="1"/>
        </w:numPr>
        <w:spacing w:line="216" w:lineRule="auto"/>
        <w:rPr>
          <w:rFonts w:ascii="Avenir Book" w:eastAsia="Avenir" w:hAnsi="Avenir Book" w:cs="Avenir"/>
          <w:sz w:val="22"/>
          <w:szCs w:val="22"/>
        </w:rPr>
      </w:pPr>
      <w:hyperlink r:id="rId15">
        <w:r w:rsidR="00160A9A" w:rsidRPr="00157A83">
          <w:rPr>
            <w:rFonts w:ascii="Avenir Book" w:eastAsia="Avenir" w:hAnsi="Avenir Book" w:cs="Avenir"/>
            <w:sz w:val="22"/>
            <w:szCs w:val="22"/>
            <w:u w:val="single"/>
          </w:rPr>
          <w:t>https://transitionta.org/sites/default/files/Career%20Preferences-1.pdf</w:t>
        </w:r>
      </w:hyperlink>
      <w:r w:rsidR="00160A9A" w:rsidRPr="00157A83">
        <w:rPr>
          <w:rFonts w:ascii="Avenir Book" w:eastAsia="Avenir" w:hAnsi="Avenir Book" w:cs="Avenir"/>
          <w:sz w:val="22"/>
          <w:szCs w:val="22"/>
        </w:rPr>
        <w:t xml:space="preserve"> </w:t>
      </w:r>
    </w:p>
    <w:p w14:paraId="48930025" w14:textId="77777777" w:rsidR="000B3EEB" w:rsidRPr="00157A83" w:rsidRDefault="000B3EEB">
      <w:pPr>
        <w:widowControl w:val="0"/>
        <w:spacing w:line="216" w:lineRule="auto"/>
        <w:rPr>
          <w:rFonts w:ascii="Avenir Book" w:eastAsia="Avenir" w:hAnsi="Avenir Book" w:cs="Avenir"/>
          <w:sz w:val="22"/>
          <w:szCs w:val="22"/>
        </w:rPr>
      </w:pPr>
    </w:p>
    <w:p w14:paraId="4A79619C" w14:textId="77777777" w:rsidR="000B3EEB" w:rsidRPr="00157A83" w:rsidRDefault="00160A9A">
      <w:pPr>
        <w:widowControl w:val="0"/>
        <w:numPr>
          <w:ilvl w:val="0"/>
          <w:numId w:val="1"/>
        </w:numPr>
        <w:rPr>
          <w:rFonts w:ascii="Avenir Book" w:eastAsia="Avenir" w:hAnsi="Avenir Book" w:cs="Avenir"/>
          <w:sz w:val="22"/>
          <w:szCs w:val="22"/>
        </w:rPr>
      </w:pPr>
      <w:r w:rsidRPr="00157A83">
        <w:rPr>
          <w:rFonts w:ascii="Avenir Book" w:eastAsia="Avenir" w:hAnsi="Avenir Book" w:cs="Avenir"/>
          <w:b/>
          <w:sz w:val="22"/>
          <w:szCs w:val="22"/>
        </w:rPr>
        <w:t>Yvette’s Example</w:t>
      </w:r>
    </w:p>
    <w:p w14:paraId="2DA2732B" w14:textId="77777777" w:rsidR="000B3EEB" w:rsidRPr="001E16C8" w:rsidRDefault="00160A9A">
      <w:pPr>
        <w:widowControl w:val="0"/>
        <w:numPr>
          <w:ilvl w:val="1"/>
          <w:numId w:val="1"/>
        </w:numPr>
        <w:rPr>
          <w:rFonts w:ascii="Avenir Book" w:eastAsia="Avenir" w:hAnsi="Avenir Book" w:cs="Avenir"/>
          <w:bCs/>
          <w:color w:val="000000" w:themeColor="text1"/>
          <w:sz w:val="22"/>
          <w:szCs w:val="22"/>
        </w:rPr>
      </w:pPr>
      <w:r w:rsidRPr="00157A83">
        <w:rPr>
          <w:rFonts w:ascii="Avenir Book" w:eastAsia="Avenir" w:hAnsi="Avenir Book" w:cs="Avenir"/>
          <w:bCs/>
          <w:sz w:val="22"/>
          <w:szCs w:val="22"/>
        </w:rPr>
        <w:t xml:space="preserve">Slides from the presentation that detail an example of viewing transition assessment </w:t>
      </w:r>
      <w:r w:rsidRPr="001E16C8">
        <w:rPr>
          <w:rFonts w:ascii="Avenir Book" w:eastAsia="Avenir" w:hAnsi="Avenir Book" w:cs="Avenir"/>
          <w:bCs/>
          <w:color w:val="000000" w:themeColor="text1"/>
          <w:sz w:val="22"/>
          <w:szCs w:val="22"/>
        </w:rPr>
        <w:t xml:space="preserve">data ‘through a different lens’. A brief case study of Yevette is included. </w:t>
      </w:r>
    </w:p>
    <w:p w14:paraId="4C28F5C3" w14:textId="77777777" w:rsidR="000B3EEB" w:rsidRPr="001E16C8" w:rsidRDefault="006F3A69">
      <w:pPr>
        <w:widowControl w:val="0"/>
        <w:numPr>
          <w:ilvl w:val="1"/>
          <w:numId w:val="1"/>
        </w:numPr>
        <w:rPr>
          <w:rFonts w:ascii="Avenir Book" w:eastAsia="Avenir" w:hAnsi="Avenir Book" w:cs="Avenir"/>
          <w:bCs/>
          <w:color w:val="000000" w:themeColor="text1"/>
          <w:sz w:val="22"/>
          <w:szCs w:val="22"/>
        </w:rPr>
      </w:pPr>
      <w:hyperlink r:id="rId16">
        <w:r w:rsidR="00160A9A" w:rsidRPr="001E16C8">
          <w:rPr>
            <w:rFonts w:ascii="Avenir Book" w:eastAsia="Avenir" w:hAnsi="Avenir Book" w:cs="Avenir"/>
            <w:bCs/>
            <w:color w:val="000000" w:themeColor="text1"/>
            <w:sz w:val="22"/>
            <w:szCs w:val="22"/>
            <w:u w:val="single"/>
          </w:rPr>
          <w:t>https://drive.google.com/file/d/1HdlHBUzJWzULouAApkRYArKqp8cifyll/view?usp=sharing</w:t>
        </w:r>
      </w:hyperlink>
    </w:p>
    <w:p w14:paraId="5A691C12" w14:textId="77777777" w:rsidR="000B3EEB" w:rsidRPr="001E16C8" w:rsidRDefault="000B3EEB">
      <w:pPr>
        <w:widowControl w:val="0"/>
        <w:rPr>
          <w:rFonts w:ascii="Avenir Book" w:eastAsia="Avenir" w:hAnsi="Avenir Book" w:cs="Avenir"/>
          <w:bCs/>
          <w:color w:val="000000" w:themeColor="text1"/>
          <w:sz w:val="22"/>
          <w:szCs w:val="22"/>
        </w:rPr>
      </w:pPr>
    </w:p>
    <w:p w14:paraId="0D66BD67" w14:textId="77777777" w:rsidR="000B3EEB" w:rsidRPr="001E16C8" w:rsidRDefault="000B3EEB">
      <w:pPr>
        <w:widowControl w:val="0"/>
        <w:rPr>
          <w:rFonts w:ascii="Avenir Book" w:eastAsia="Avenir" w:hAnsi="Avenir Book" w:cs="Avenir"/>
          <w:b/>
          <w:color w:val="000000" w:themeColor="text1"/>
          <w:sz w:val="22"/>
          <w:szCs w:val="22"/>
        </w:rPr>
      </w:pPr>
    </w:p>
    <w:p w14:paraId="397CCA3F" w14:textId="77777777" w:rsidR="000B3EEB" w:rsidRPr="001E16C8" w:rsidRDefault="000B3EEB">
      <w:pPr>
        <w:widowControl w:val="0"/>
        <w:rPr>
          <w:rFonts w:ascii="Avenir Book" w:eastAsia="Avenir" w:hAnsi="Avenir Book" w:cs="Avenir"/>
          <w:b/>
          <w:color w:val="000000" w:themeColor="text1"/>
          <w:sz w:val="22"/>
          <w:szCs w:val="22"/>
        </w:rPr>
      </w:pPr>
    </w:p>
    <w:p w14:paraId="0367A4B6" w14:textId="77777777" w:rsidR="000B3EEB" w:rsidRPr="001E16C8" w:rsidRDefault="000B3EEB">
      <w:pPr>
        <w:widowControl w:val="0"/>
        <w:rPr>
          <w:rFonts w:ascii="Avenir Book" w:eastAsia="Avenir" w:hAnsi="Avenir Book" w:cs="Avenir"/>
          <w:b/>
          <w:color w:val="000000" w:themeColor="text1"/>
          <w:sz w:val="22"/>
          <w:szCs w:val="22"/>
        </w:rPr>
      </w:pPr>
    </w:p>
    <w:p w14:paraId="3A269B15" w14:textId="77777777" w:rsidR="000B3EEB" w:rsidRPr="001E16C8" w:rsidRDefault="000B3EEB">
      <w:pPr>
        <w:widowControl w:val="0"/>
        <w:rPr>
          <w:rFonts w:ascii="Avenir Book" w:eastAsia="Avenir" w:hAnsi="Avenir Book" w:cs="Avenir"/>
          <w:b/>
          <w:color w:val="000000" w:themeColor="text1"/>
          <w:sz w:val="22"/>
          <w:szCs w:val="22"/>
        </w:rPr>
      </w:pPr>
    </w:p>
    <w:p w14:paraId="76183A9C" w14:textId="77777777" w:rsidR="000B3EEB" w:rsidRPr="001E16C8" w:rsidRDefault="000B3EEB">
      <w:pPr>
        <w:widowControl w:val="0"/>
        <w:rPr>
          <w:rFonts w:ascii="Avenir Book" w:eastAsia="Avenir" w:hAnsi="Avenir Book" w:cs="Avenir"/>
          <w:b/>
          <w:color w:val="000000" w:themeColor="text1"/>
          <w:sz w:val="22"/>
          <w:szCs w:val="22"/>
        </w:rPr>
      </w:pPr>
    </w:p>
    <w:p w14:paraId="1A8D658A" w14:textId="77777777" w:rsidR="000B3EEB" w:rsidRPr="001E16C8" w:rsidRDefault="00160A9A">
      <w:pPr>
        <w:widowControl w:val="0"/>
        <w:numPr>
          <w:ilvl w:val="0"/>
          <w:numId w:val="1"/>
        </w:numPr>
        <w:rPr>
          <w:rFonts w:ascii="Avenir Book" w:eastAsia="Avenir" w:hAnsi="Avenir Book" w:cs="Avenir"/>
          <w:color w:val="000000" w:themeColor="text1"/>
          <w:sz w:val="22"/>
          <w:szCs w:val="22"/>
        </w:rPr>
      </w:pPr>
      <w:r w:rsidRPr="001E16C8">
        <w:rPr>
          <w:rFonts w:ascii="Avenir Book" w:eastAsia="Avenir" w:hAnsi="Avenir Book" w:cs="Avenir"/>
          <w:b/>
          <w:color w:val="000000" w:themeColor="text1"/>
          <w:sz w:val="22"/>
          <w:szCs w:val="22"/>
        </w:rPr>
        <w:t>Collecting and Analyzing Youth Performance Data</w:t>
      </w:r>
    </w:p>
    <w:p w14:paraId="3D7D2424" w14:textId="77777777" w:rsidR="000B3EEB" w:rsidRPr="001E16C8" w:rsidRDefault="00160A9A">
      <w:pPr>
        <w:widowControl w:val="0"/>
        <w:numPr>
          <w:ilvl w:val="1"/>
          <w:numId w:val="1"/>
        </w:numPr>
        <w:spacing w:line="276" w:lineRule="auto"/>
        <w:rPr>
          <w:rFonts w:ascii="Avenir Book" w:eastAsia="Avenir" w:hAnsi="Avenir Book" w:cs="Avenir"/>
          <w:b/>
          <w:color w:val="000000" w:themeColor="text1"/>
          <w:sz w:val="22"/>
          <w:szCs w:val="22"/>
        </w:rPr>
      </w:pPr>
      <w:r w:rsidRPr="001E16C8">
        <w:rPr>
          <w:rFonts w:ascii="Avenir Book" w:eastAsia="Avenir" w:hAnsi="Avenir Book" w:cs="Avenir"/>
          <w:color w:val="000000" w:themeColor="text1"/>
          <w:sz w:val="22"/>
          <w:szCs w:val="22"/>
        </w:rPr>
        <w:t>Includes detailed information about setting up a structured observation as well as other methods of data collection on youth progress</w:t>
      </w:r>
    </w:p>
    <w:p w14:paraId="04E05E16" w14:textId="77777777" w:rsidR="000B3EEB" w:rsidRPr="001E16C8" w:rsidRDefault="006F3A69">
      <w:pPr>
        <w:widowControl w:val="0"/>
        <w:numPr>
          <w:ilvl w:val="1"/>
          <w:numId w:val="1"/>
        </w:numPr>
        <w:spacing w:line="276" w:lineRule="auto"/>
        <w:rPr>
          <w:rFonts w:ascii="Avenir Book" w:eastAsia="Avenir" w:hAnsi="Avenir Book" w:cs="Avenir"/>
          <w:color w:val="000000" w:themeColor="text1"/>
          <w:sz w:val="22"/>
          <w:szCs w:val="22"/>
        </w:rPr>
      </w:pPr>
      <w:hyperlink r:id="rId17">
        <w:r w:rsidR="00160A9A" w:rsidRPr="001E16C8">
          <w:rPr>
            <w:rFonts w:ascii="Avenir Book" w:eastAsia="Avenir" w:hAnsi="Avenir Book" w:cs="Avenir"/>
            <w:color w:val="000000" w:themeColor="text1"/>
            <w:sz w:val="22"/>
            <w:szCs w:val="22"/>
            <w:u w:val="single"/>
          </w:rPr>
          <w:t>https://ohioemploymentfirst.org/up_doc/Collecting-and-Analyzing-Youth-Performance-Data.pdf</w:t>
        </w:r>
      </w:hyperlink>
    </w:p>
    <w:p w14:paraId="2E861FC6" w14:textId="77777777" w:rsidR="000B3EEB" w:rsidRPr="001E16C8" w:rsidRDefault="000B3EEB">
      <w:pPr>
        <w:widowControl w:val="0"/>
        <w:spacing w:line="276" w:lineRule="auto"/>
        <w:ind w:left="720"/>
        <w:rPr>
          <w:rFonts w:ascii="Avenir Book" w:eastAsia="Avenir" w:hAnsi="Avenir Book" w:cs="Avenir"/>
          <w:b/>
          <w:color w:val="000000" w:themeColor="text1"/>
          <w:sz w:val="22"/>
          <w:szCs w:val="22"/>
        </w:rPr>
      </w:pPr>
    </w:p>
    <w:p w14:paraId="6A7DC818" w14:textId="77777777" w:rsidR="000B3EEB" w:rsidRPr="001E16C8" w:rsidRDefault="00160A9A">
      <w:pPr>
        <w:widowControl w:val="0"/>
        <w:numPr>
          <w:ilvl w:val="0"/>
          <w:numId w:val="1"/>
        </w:numPr>
        <w:spacing w:line="216" w:lineRule="auto"/>
        <w:rPr>
          <w:rFonts w:ascii="Avenir Book" w:eastAsia="Avenir" w:hAnsi="Avenir Book" w:cs="Avenir"/>
          <w:b/>
          <w:color w:val="000000" w:themeColor="text1"/>
          <w:sz w:val="22"/>
          <w:szCs w:val="22"/>
        </w:rPr>
      </w:pPr>
      <w:r w:rsidRPr="001E16C8">
        <w:rPr>
          <w:rFonts w:ascii="Avenir Book" w:eastAsia="Avenir" w:hAnsi="Avenir Book" w:cs="Avenir"/>
          <w:b/>
          <w:color w:val="000000" w:themeColor="text1"/>
          <w:sz w:val="22"/>
          <w:szCs w:val="22"/>
        </w:rPr>
        <w:t>Employability/Life Skills Assessment (ELSA)</w:t>
      </w:r>
    </w:p>
    <w:p w14:paraId="76722066" w14:textId="71A8846B" w:rsidR="000B3EEB" w:rsidRPr="001E16C8" w:rsidRDefault="003578CB">
      <w:pPr>
        <w:widowControl w:val="0"/>
        <w:numPr>
          <w:ilvl w:val="1"/>
          <w:numId w:val="1"/>
        </w:numPr>
        <w:spacing w:line="216" w:lineRule="auto"/>
        <w:rPr>
          <w:rFonts w:ascii="Avenir Book" w:eastAsia="Avenir" w:hAnsi="Avenir Book" w:cs="Avenir"/>
          <w:color w:val="000000" w:themeColor="text1"/>
          <w:sz w:val="22"/>
          <w:szCs w:val="22"/>
        </w:rPr>
      </w:pPr>
      <w:r w:rsidRPr="001E16C8">
        <w:rPr>
          <w:rFonts w:ascii="Avenir Book" w:eastAsia="Avenir" w:hAnsi="Avenir Book" w:cs="Avenir"/>
          <w:color w:val="000000" w:themeColor="text1"/>
          <w:sz w:val="22"/>
          <w:szCs w:val="22"/>
        </w:rPr>
        <w:t>Assesses</w:t>
      </w:r>
      <w:r w:rsidR="00160A9A" w:rsidRPr="001E16C8">
        <w:rPr>
          <w:rFonts w:ascii="Avenir Book" w:eastAsia="Avenir" w:hAnsi="Avenir Book" w:cs="Avenir"/>
          <w:color w:val="000000" w:themeColor="text1"/>
          <w:sz w:val="22"/>
          <w:szCs w:val="22"/>
        </w:rPr>
        <w:t xml:space="preserve"> 24 basic worker and life skills valued by employers</w:t>
      </w:r>
    </w:p>
    <w:p w14:paraId="1351E789" w14:textId="77777777" w:rsidR="000B3EEB" w:rsidRPr="001E16C8" w:rsidRDefault="006F3A69">
      <w:pPr>
        <w:widowControl w:val="0"/>
        <w:numPr>
          <w:ilvl w:val="1"/>
          <w:numId w:val="1"/>
        </w:numPr>
        <w:spacing w:line="216" w:lineRule="auto"/>
        <w:rPr>
          <w:rFonts w:ascii="Avenir Book" w:eastAsia="Avenir" w:hAnsi="Avenir Book" w:cs="Avenir"/>
          <w:color w:val="000000" w:themeColor="text1"/>
          <w:sz w:val="22"/>
          <w:szCs w:val="22"/>
        </w:rPr>
      </w:pPr>
      <w:hyperlink r:id="rId18">
        <w:r w:rsidR="00160A9A" w:rsidRPr="001E16C8">
          <w:rPr>
            <w:rFonts w:ascii="Avenir Book" w:eastAsia="Avenir" w:hAnsi="Avenir Book" w:cs="Avenir"/>
            <w:color w:val="000000" w:themeColor="text1"/>
            <w:sz w:val="22"/>
            <w:szCs w:val="22"/>
            <w:u w:val="single"/>
          </w:rPr>
          <w:t>https://www.ocali.org/up_doc/ELSA-For-Professionals-06-30-2020.pdf</w:t>
        </w:r>
      </w:hyperlink>
      <w:r w:rsidR="00160A9A" w:rsidRPr="001E16C8">
        <w:rPr>
          <w:rFonts w:ascii="Avenir Book" w:eastAsia="Avenir" w:hAnsi="Avenir Book" w:cs="Avenir"/>
          <w:color w:val="000000" w:themeColor="text1"/>
          <w:sz w:val="22"/>
          <w:szCs w:val="22"/>
        </w:rPr>
        <w:t xml:space="preserve"> </w:t>
      </w:r>
    </w:p>
    <w:p w14:paraId="482C3D9F" w14:textId="77777777" w:rsidR="000B3EEB" w:rsidRPr="001E16C8" w:rsidRDefault="000B3EEB">
      <w:pPr>
        <w:widowControl w:val="0"/>
        <w:rPr>
          <w:rFonts w:ascii="Avenir Book" w:eastAsia="Avenir" w:hAnsi="Avenir Book" w:cs="Avenir"/>
          <w:b/>
          <w:color w:val="000000" w:themeColor="text1"/>
          <w:sz w:val="22"/>
          <w:szCs w:val="22"/>
        </w:rPr>
      </w:pPr>
    </w:p>
    <w:p w14:paraId="6444E835" w14:textId="77777777" w:rsidR="000B3EEB" w:rsidRPr="001E16C8" w:rsidRDefault="000B3EEB">
      <w:pPr>
        <w:widowControl w:val="0"/>
        <w:rPr>
          <w:rFonts w:ascii="Avenir Book" w:eastAsia="Avenir" w:hAnsi="Avenir Book" w:cs="Avenir"/>
          <w:color w:val="000000" w:themeColor="text1"/>
          <w:sz w:val="22"/>
          <w:szCs w:val="22"/>
        </w:rPr>
      </w:pPr>
    </w:p>
    <w:p w14:paraId="428D253A" w14:textId="77777777" w:rsidR="000B3EEB" w:rsidRPr="001E16C8" w:rsidRDefault="00160A9A">
      <w:pPr>
        <w:widowControl w:val="0"/>
        <w:numPr>
          <w:ilvl w:val="0"/>
          <w:numId w:val="1"/>
        </w:numPr>
        <w:rPr>
          <w:rFonts w:ascii="Avenir Book" w:eastAsia="Avenir" w:hAnsi="Avenir Book" w:cs="Avenir"/>
          <w:b/>
          <w:color w:val="000000" w:themeColor="text1"/>
          <w:sz w:val="22"/>
          <w:szCs w:val="22"/>
        </w:rPr>
      </w:pPr>
      <w:r w:rsidRPr="001E16C8">
        <w:rPr>
          <w:rFonts w:ascii="Avenir Book" w:eastAsia="Avenir" w:hAnsi="Avenir Book" w:cs="Avenir"/>
          <w:b/>
          <w:color w:val="000000" w:themeColor="text1"/>
          <w:sz w:val="22"/>
          <w:szCs w:val="22"/>
        </w:rPr>
        <w:t>Creating the Right “Sensory Fit”</w:t>
      </w:r>
    </w:p>
    <w:p w14:paraId="3BD9F218" w14:textId="77777777" w:rsidR="000B3EEB" w:rsidRPr="001E16C8" w:rsidRDefault="00160A9A">
      <w:pPr>
        <w:widowControl w:val="0"/>
        <w:numPr>
          <w:ilvl w:val="1"/>
          <w:numId w:val="1"/>
        </w:numPr>
        <w:rPr>
          <w:rFonts w:ascii="Avenir Book" w:eastAsia="Avenir" w:hAnsi="Avenir Book" w:cs="Avenir"/>
          <w:color w:val="000000" w:themeColor="text1"/>
          <w:sz w:val="22"/>
          <w:szCs w:val="22"/>
        </w:rPr>
      </w:pPr>
      <w:r w:rsidRPr="001E16C8">
        <w:rPr>
          <w:rFonts w:ascii="Avenir Book" w:eastAsia="Avenir" w:hAnsi="Avenir Book" w:cs="Avenir"/>
          <w:color w:val="000000" w:themeColor="text1"/>
          <w:sz w:val="22"/>
          <w:szCs w:val="22"/>
        </w:rPr>
        <w:t>A tool for sorting out sensory challenges and sensory preferences</w:t>
      </w:r>
    </w:p>
    <w:p w14:paraId="54C52C23" w14:textId="5B18F7CC" w:rsidR="000B3EEB" w:rsidRPr="009346A3" w:rsidRDefault="009346A3" w:rsidP="009346A3">
      <w:pPr>
        <w:widowControl w:val="0"/>
        <w:ind w:left="828"/>
        <w:rPr>
          <w:sz w:val="22"/>
          <w:szCs w:val="22"/>
        </w:rPr>
      </w:pPr>
      <w:r w:rsidRPr="009346A3">
        <w:rPr>
          <w:sz w:val="22"/>
          <w:szCs w:val="22"/>
        </w:rPr>
        <w:fldChar w:fldCharType="begin"/>
      </w:r>
      <w:r w:rsidRPr="009346A3">
        <w:rPr>
          <w:sz w:val="22"/>
          <w:szCs w:val="22"/>
        </w:rPr>
        <w:instrText xml:space="preserve"> HYPERLINK "</w:instrText>
      </w:r>
      <w:r w:rsidRPr="009346A3">
        <w:rPr>
          <w:sz w:val="22"/>
          <w:szCs w:val="22"/>
        </w:rPr>
        <w:instrText>https://drive.google.com/file/d/1FzH12TjB3Iscsk5EvKXOekbkz1T7_3ad/view?usp=sharing</w:instrText>
      </w:r>
      <w:r w:rsidRPr="009346A3">
        <w:rPr>
          <w:sz w:val="22"/>
          <w:szCs w:val="22"/>
        </w:rPr>
        <w:instrText xml:space="preserve">" </w:instrText>
      </w:r>
      <w:r w:rsidRPr="009346A3">
        <w:rPr>
          <w:sz w:val="22"/>
          <w:szCs w:val="22"/>
        </w:rPr>
        <w:fldChar w:fldCharType="separate"/>
      </w:r>
      <w:r w:rsidRPr="009346A3">
        <w:rPr>
          <w:rStyle w:val="Hyperlink"/>
          <w:sz w:val="22"/>
          <w:szCs w:val="22"/>
        </w:rPr>
        <w:t>https://drive.google.com/file/d/1FzH12TjB3Iscsk5EvKXOekbkz1T7_3ad/view?usp=sharing</w:t>
      </w:r>
      <w:r w:rsidRPr="009346A3">
        <w:rPr>
          <w:sz w:val="22"/>
          <w:szCs w:val="22"/>
        </w:rPr>
        <w:fldChar w:fldCharType="end"/>
      </w:r>
    </w:p>
    <w:p w14:paraId="50F2BB2C" w14:textId="77777777" w:rsidR="009346A3" w:rsidRPr="001E16C8" w:rsidRDefault="009346A3">
      <w:pPr>
        <w:widowControl w:val="0"/>
        <w:rPr>
          <w:rFonts w:ascii="Avenir Book" w:eastAsia="Avenir" w:hAnsi="Avenir Book" w:cs="Avenir"/>
          <w:color w:val="000000" w:themeColor="text1"/>
          <w:sz w:val="22"/>
          <w:szCs w:val="22"/>
        </w:rPr>
      </w:pPr>
    </w:p>
    <w:p w14:paraId="2B3B2497" w14:textId="77777777" w:rsidR="000B3EEB" w:rsidRPr="001E16C8" w:rsidRDefault="00160A9A">
      <w:pPr>
        <w:numPr>
          <w:ilvl w:val="0"/>
          <w:numId w:val="1"/>
        </w:numPr>
        <w:shd w:val="clear" w:color="auto" w:fill="FFFFFF"/>
        <w:spacing w:after="150"/>
        <w:rPr>
          <w:rFonts w:ascii="Avenir Book" w:eastAsia="Avenir" w:hAnsi="Avenir Book" w:cs="Avenir"/>
          <w:b/>
          <w:color w:val="000000" w:themeColor="text1"/>
          <w:sz w:val="22"/>
          <w:szCs w:val="22"/>
        </w:rPr>
      </w:pPr>
      <w:r w:rsidRPr="001E16C8">
        <w:rPr>
          <w:rFonts w:ascii="Avenir Book" w:eastAsia="Avenir" w:hAnsi="Avenir Book" w:cs="Avenir"/>
          <w:b/>
          <w:color w:val="000000" w:themeColor="text1"/>
          <w:sz w:val="22"/>
          <w:szCs w:val="22"/>
        </w:rPr>
        <w:t xml:space="preserve">Charting the </w:t>
      </w:r>
      <w:proofErr w:type="spellStart"/>
      <w:r w:rsidRPr="001E16C8">
        <w:rPr>
          <w:rFonts w:ascii="Avenir Book" w:eastAsia="Avenir" w:hAnsi="Avenir Book" w:cs="Avenir"/>
          <w:b/>
          <w:color w:val="000000" w:themeColor="text1"/>
          <w:sz w:val="22"/>
          <w:szCs w:val="22"/>
        </w:rPr>
        <w:t>LifeCourse</w:t>
      </w:r>
      <w:proofErr w:type="spellEnd"/>
    </w:p>
    <w:p w14:paraId="16F78196" w14:textId="77777777" w:rsidR="000B3EEB" w:rsidRPr="001E16C8" w:rsidRDefault="00160A9A">
      <w:pPr>
        <w:numPr>
          <w:ilvl w:val="1"/>
          <w:numId w:val="1"/>
        </w:numPr>
        <w:shd w:val="clear" w:color="auto" w:fill="FFFFFF"/>
        <w:rPr>
          <w:rFonts w:ascii="Avenir Book" w:eastAsia="Avenir" w:hAnsi="Avenir Book" w:cs="Avenir"/>
          <w:color w:val="000000" w:themeColor="text1"/>
          <w:sz w:val="22"/>
          <w:szCs w:val="22"/>
        </w:rPr>
      </w:pPr>
      <w:r w:rsidRPr="001E16C8">
        <w:rPr>
          <w:rFonts w:ascii="Avenir Book" w:eastAsia="Avenir" w:hAnsi="Avenir Book" w:cs="Avenir"/>
          <w:color w:val="000000" w:themeColor="text1"/>
          <w:sz w:val="22"/>
          <w:szCs w:val="22"/>
        </w:rPr>
        <w:t xml:space="preserve">Life is a journey where each stage of life impacts the other and different life experiences bring us closer or further away from our “good life.” In the </w:t>
      </w:r>
      <w:proofErr w:type="spellStart"/>
      <w:r w:rsidRPr="001E16C8">
        <w:rPr>
          <w:rFonts w:ascii="Avenir Book" w:eastAsia="Avenir" w:hAnsi="Avenir Book" w:cs="Avenir"/>
          <w:color w:val="000000" w:themeColor="text1"/>
          <w:sz w:val="22"/>
          <w:szCs w:val="22"/>
        </w:rPr>
        <w:t>LifeCourse</w:t>
      </w:r>
      <w:proofErr w:type="spellEnd"/>
      <w:r w:rsidRPr="001E16C8">
        <w:rPr>
          <w:rFonts w:ascii="Avenir Book" w:eastAsia="Avenir" w:hAnsi="Avenir Book" w:cs="Avenir"/>
          <w:color w:val="000000" w:themeColor="text1"/>
          <w:sz w:val="22"/>
          <w:szCs w:val="22"/>
        </w:rPr>
        <w:t xml:space="preserve"> framework, we use the term “life trajectory” to describe the path your journey takes. </w:t>
      </w:r>
    </w:p>
    <w:p w14:paraId="30330AF8" w14:textId="77777777" w:rsidR="000B3EEB" w:rsidRPr="001E16C8" w:rsidRDefault="006F3A69">
      <w:pPr>
        <w:widowControl w:val="0"/>
        <w:numPr>
          <w:ilvl w:val="1"/>
          <w:numId w:val="1"/>
        </w:numPr>
        <w:spacing w:after="320"/>
        <w:rPr>
          <w:rFonts w:ascii="Avenir Book" w:eastAsia="Avenir" w:hAnsi="Avenir Book" w:cs="Avenir"/>
          <w:color w:val="000000" w:themeColor="text1"/>
          <w:sz w:val="22"/>
          <w:szCs w:val="22"/>
        </w:rPr>
      </w:pPr>
      <w:hyperlink r:id="rId19">
        <w:r w:rsidR="00160A9A" w:rsidRPr="001E16C8">
          <w:rPr>
            <w:rFonts w:ascii="Avenir Book" w:eastAsia="Avenir" w:hAnsi="Avenir Book" w:cs="Avenir"/>
            <w:color w:val="000000" w:themeColor="text1"/>
            <w:sz w:val="22"/>
            <w:szCs w:val="22"/>
            <w:u w:val="single"/>
          </w:rPr>
          <w:t>http://www.lifecoursetools.com/lifecourse-library/foundational-tools/family-perspective/</w:t>
        </w:r>
      </w:hyperlink>
      <w:r w:rsidR="00160A9A" w:rsidRPr="001E16C8">
        <w:rPr>
          <w:rFonts w:ascii="Avenir Book" w:eastAsia="Avenir" w:hAnsi="Avenir Book" w:cs="Avenir"/>
          <w:color w:val="000000" w:themeColor="text1"/>
          <w:sz w:val="22"/>
          <w:szCs w:val="22"/>
        </w:rPr>
        <w:t xml:space="preserve"> </w:t>
      </w:r>
    </w:p>
    <w:p w14:paraId="31389DC4" w14:textId="77777777" w:rsidR="000B3EEB" w:rsidRPr="001E16C8" w:rsidRDefault="00160A9A">
      <w:pPr>
        <w:widowControl w:val="0"/>
        <w:numPr>
          <w:ilvl w:val="0"/>
          <w:numId w:val="1"/>
        </w:numPr>
        <w:rPr>
          <w:rFonts w:ascii="Avenir Book" w:eastAsia="Avenir" w:hAnsi="Avenir Book" w:cs="Avenir"/>
          <w:b/>
          <w:bCs/>
          <w:color w:val="000000" w:themeColor="text1"/>
          <w:sz w:val="22"/>
          <w:szCs w:val="22"/>
        </w:rPr>
      </w:pPr>
      <w:r w:rsidRPr="001E16C8">
        <w:rPr>
          <w:rFonts w:ascii="Avenir Book" w:eastAsia="Avenir" w:hAnsi="Avenir Book" w:cs="Avenir"/>
          <w:b/>
          <w:bCs/>
          <w:color w:val="000000" w:themeColor="text1"/>
          <w:sz w:val="22"/>
          <w:szCs w:val="22"/>
        </w:rPr>
        <w:t>A Meaningful Day Webinar Series</w:t>
      </w:r>
    </w:p>
    <w:p w14:paraId="64094197" w14:textId="77777777" w:rsidR="000B3EEB" w:rsidRPr="001E16C8" w:rsidRDefault="00160A9A">
      <w:pPr>
        <w:widowControl w:val="0"/>
        <w:numPr>
          <w:ilvl w:val="1"/>
          <w:numId w:val="1"/>
        </w:numPr>
        <w:shd w:val="clear" w:color="auto" w:fill="FFFFFF"/>
        <w:rPr>
          <w:rFonts w:ascii="Avenir Book" w:eastAsia="Avenir" w:hAnsi="Avenir Book" w:cs="Avenir"/>
          <w:color w:val="000000" w:themeColor="text1"/>
          <w:sz w:val="22"/>
          <w:szCs w:val="22"/>
        </w:rPr>
      </w:pPr>
      <w:r w:rsidRPr="001E16C8">
        <w:rPr>
          <w:rFonts w:ascii="Avenir Book" w:eastAsia="Avenir" w:hAnsi="Avenir Book" w:cs="Avenir"/>
          <w:color w:val="000000" w:themeColor="text1"/>
          <w:sz w:val="22"/>
          <w:szCs w:val="22"/>
        </w:rPr>
        <w:t xml:space="preserve">This webinar series is designed to help service providers understand and manage community-based services. Presented by Sara Murphy, director of </w:t>
      </w:r>
      <w:proofErr w:type="spellStart"/>
      <w:r w:rsidRPr="001E16C8">
        <w:rPr>
          <w:rFonts w:ascii="Avenir Book" w:eastAsia="Avenir" w:hAnsi="Avenir Book" w:cs="Avenir"/>
          <w:color w:val="000000" w:themeColor="text1"/>
          <w:sz w:val="22"/>
          <w:szCs w:val="22"/>
        </w:rPr>
        <w:t>WorkLink</w:t>
      </w:r>
      <w:proofErr w:type="spellEnd"/>
      <w:r w:rsidRPr="001E16C8">
        <w:rPr>
          <w:rFonts w:ascii="Avenir Book" w:eastAsia="Avenir" w:hAnsi="Avenir Book" w:cs="Avenir"/>
          <w:color w:val="000000" w:themeColor="text1"/>
          <w:sz w:val="22"/>
          <w:szCs w:val="22"/>
        </w:rPr>
        <w:t xml:space="preserve">, </w:t>
      </w:r>
      <w:proofErr w:type="spellStart"/>
      <w:r w:rsidRPr="001E16C8">
        <w:rPr>
          <w:rFonts w:ascii="Avenir Book" w:eastAsia="Avenir" w:hAnsi="Avenir Book" w:cs="Avenir"/>
          <w:color w:val="000000" w:themeColor="text1"/>
          <w:sz w:val="22"/>
          <w:szCs w:val="22"/>
        </w:rPr>
        <w:t>TransCen’s</w:t>
      </w:r>
      <w:proofErr w:type="spellEnd"/>
      <w:r w:rsidRPr="001E16C8">
        <w:rPr>
          <w:rFonts w:ascii="Avenir Book" w:eastAsia="Avenir" w:hAnsi="Avenir Book" w:cs="Avenir"/>
          <w:color w:val="000000" w:themeColor="text1"/>
          <w:sz w:val="22"/>
          <w:szCs w:val="22"/>
        </w:rPr>
        <w:t xml:space="preserve"> San Francisco-based employment program. Originally recorded July 30, 2018. </w:t>
      </w:r>
    </w:p>
    <w:p w14:paraId="52263271" w14:textId="77777777" w:rsidR="000B3EEB" w:rsidRPr="001E16C8" w:rsidRDefault="006F3A69">
      <w:pPr>
        <w:widowControl w:val="0"/>
        <w:numPr>
          <w:ilvl w:val="1"/>
          <w:numId w:val="1"/>
        </w:numPr>
        <w:spacing w:after="320"/>
        <w:rPr>
          <w:rFonts w:ascii="Avenir Book" w:eastAsia="Avenir" w:hAnsi="Avenir Book" w:cs="Avenir"/>
          <w:color w:val="000000" w:themeColor="text1"/>
          <w:sz w:val="22"/>
          <w:szCs w:val="22"/>
        </w:rPr>
      </w:pPr>
      <w:hyperlink r:id="rId20">
        <w:r w:rsidR="00160A9A" w:rsidRPr="001E16C8">
          <w:rPr>
            <w:rFonts w:ascii="Avenir Book" w:eastAsia="Avenir" w:hAnsi="Avenir Book" w:cs="Avenir"/>
            <w:color w:val="000000" w:themeColor="text1"/>
            <w:sz w:val="22"/>
            <w:szCs w:val="22"/>
            <w:u w:val="single"/>
          </w:rPr>
          <w:t>https://dodd.ohio.gov/wps/portal/gov/dodd/about-us/training/department-provided-training/meaningful-day-recorded-webinars</w:t>
        </w:r>
      </w:hyperlink>
    </w:p>
    <w:sectPr w:rsidR="000B3EEB" w:rsidRPr="001E16C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61992" w14:textId="77777777" w:rsidR="006F3A69" w:rsidRDefault="006F3A69">
      <w:r>
        <w:separator/>
      </w:r>
    </w:p>
  </w:endnote>
  <w:endnote w:type="continuationSeparator" w:id="0">
    <w:p w14:paraId="4301F9AE" w14:textId="77777777" w:rsidR="006F3A69" w:rsidRDefault="006F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panose1 w:val="020B0503020203020204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45D79" w14:textId="77777777" w:rsidR="001E16C8" w:rsidRDefault="001E1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196C9" w14:textId="77777777" w:rsidR="000B3EEB" w:rsidRDefault="006F3A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color w:val="000000"/>
        <w:sz w:val="18"/>
        <w:szCs w:val="18"/>
      </w:rPr>
    </w:pPr>
    <w:hyperlink r:id="rId1">
      <w:r w:rsidR="00160A9A">
        <w:rPr>
          <w:rFonts w:ascii="Avenir" w:eastAsia="Avenir" w:hAnsi="Avenir" w:cs="Avenir"/>
          <w:color w:val="0000FF"/>
          <w:sz w:val="18"/>
          <w:szCs w:val="18"/>
          <w:u w:val="single"/>
        </w:rPr>
        <w:t>www.ohioemploymentfirst.org</w:t>
      </w:r>
    </w:hyperlink>
    <w:r w:rsidR="00160A9A">
      <w:rPr>
        <w:rFonts w:ascii="Avenir" w:eastAsia="Avenir" w:hAnsi="Avenir" w:cs="Avenir"/>
        <w:color w:val="000000"/>
        <w:sz w:val="18"/>
        <w:szCs w:val="18"/>
      </w:rPr>
      <w:t xml:space="preserve">. </w:t>
    </w:r>
  </w:p>
  <w:p w14:paraId="43E255D1" w14:textId="77777777" w:rsidR="000B3EEB" w:rsidRDefault="00160A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i/>
        <w:color w:val="000000"/>
        <w:sz w:val="18"/>
        <w:szCs w:val="18"/>
      </w:rPr>
    </w:pPr>
    <w:r>
      <w:rPr>
        <w:rFonts w:ascii="Avenir" w:eastAsia="Avenir" w:hAnsi="Avenir" w:cs="Avenir"/>
        <w:color w:val="000000"/>
        <w:sz w:val="18"/>
        <w:szCs w:val="18"/>
      </w:rPr>
      <w:t xml:space="preserve">Transition Planning - </w:t>
    </w:r>
    <w:r>
      <w:rPr>
        <w:rFonts w:ascii="Avenir" w:eastAsia="Avenir" w:hAnsi="Avenir" w:cs="Avenir"/>
        <w:i/>
        <w:color w:val="000000"/>
        <w:sz w:val="18"/>
        <w:szCs w:val="18"/>
      </w:rPr>
      <w:t>The Journey</w:t>
    </w:r>
  </w:p>
  <w:p w14:paraId="5D0300A0" w14:textId="77777777" w:rsidR="000B3EEB" w:rsidRDefault="00160A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i/>
        <w:color w:val="000000"/>
        <w:sz w:val="16"/>
        <w:szCs w:val="16"/>
      </w:rPr>
    </w:pPr>
    <w:r>
      <w:rPr>
        <w:rFonts w:ascii="Avenir" w:eastAsia="Avenir" w:hAnsi="Avenir" w:cs="Avenir"/>
        <w:i/>
        <w:color w:val="000000"/>
        <w:sz w:val="16"/>
        <w:szCs w:val="16"/>
      </w:rPr>
      <w:t>NOTE: Inclusion of products or resources on this list DOES NOT constitute endorsement or recommendation by OCALI or DODD.</w:t>
    </w:r>
  </w:p>
  <w:p w14:paraId="573BE1D3" w14:textId="77777777" w:rsidR="000B3EEB" w:rsidRDefault="000B3E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EE1D" w14:textId="77777777" w:rsidR="001E16C8" w:rsidRDefault="001E1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86E59" w14:textId="77777777" w:rsidR="006F3A69" w:rsidRDefault="006F3A69">
      <w:r>
        <w:separator/>
      </w:r>
    </w:p>
  </w:footnote>
  <w:footnote w:type="continuationSeparator" w:id="0">
    <w:p w14:paraId="31B3610B" w14:textId="77777777" w:rsidR="006F3A69" w:rsidRDefault="006F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C870" w14:textId="77777777" w:rsidR="001E16C8" w:rsidRDefault="001E1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69C2E" w14:textId="77777777" w:rsidR="000B3EEB" w:rsidRDefault="00160A9A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eastAsia="Avenir" w:hAnsi="Avenir" w:cs="Avenir"/>
        <w:b/>
        <w:sz w:val="25"/>
        <w:szCs w:val="2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2AC4CEF" wp14:editId="41E3ECCD">
          <wp:simplePos x="0" y="0"/>
          <wp:positionH relativeFrom="column">
            <wp:posOffset>2112010</wp:posOffset>
          </wp:positionH>
          <wp:positionV relativeFrom="paragraph">
            <wp:posOffset>-251460</wp:posOffset>
          </wp:positionV>
          <wp:extent cx="1506220" cy="720725"/>
          <wp:effectExtent l="0" t="0" r="5080" b="3175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6220" cy="720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5281EE" w14:textId="77777777" w:rsidR="000B3EEB" w:rsidRDefault="000B3EEB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eastAsia="Avenir" w:hAnsi="Avenir" w:cs="Avenir"/>
        <w:b/>
        <w:sz w:val="25"/>
        <w:szCs w:val="25"/>
      </w:rPr>
    </w:pPr>
  </w:p>
  <w:p w14:paraId="3B4F5802" w14:textId="77777777" w:rsidR="000B3EEB" w:rsidRDefault="00160A9A">
    <w:pPr>
      <w:pBdr>
        <w:top w:val="nil"/>
        <w:left w:val="nil"/>
        <w:bottom w:val="nil"/>
        <w:right w:val="nil"/>
        <w:between w:val="nil"/>
      </w:pBdr>
      <w:spacing w:before="160"/>
      <w:rPr>
        <w:rFonts w:ascii="Avenir" w:eastAsia="Avenir" w:hAnsi="Avenir" w:cs="Avenir"/>
        <w:b/>
        <w:color w:val="000000"/>
        <w:sz w:val="27"/>
        <w:szCs w:val="27"/>
      </w:rPr>
    </w:pPr>
    <w:r>
      <w:rPr>
        <w:rFonts w:ascii="Avenir" w:eastAsia="Avenir" w:hAnsi="Avenir" w:cs="Avenir"/>
        <w:b/>
        <w:sz w:val="27"/>
        <w:szCs w:val="27"/>
      </w:rPr>
      <w:t>Transition Assessment and Transition Planning for Those with Lifelong Needs</w:t>
    </w:r>
  </w:p>
  <w:p w14:paraId="6DF028AE" w14:textId="77777777" w:rsidR="000B3EEB" w:rsidRDefault="00160A9A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eastAsia="Avenir" w:hAnsi="Avenir" w:cs="Avenir"/>
        <w:b/>
        <w:i/>
        <w:color w:val="000000"/>
        <w:sz w:val="25"/>
        <w:szCs w:val="25"/>
      </w:rPr>
    </w:pPr>
    <w:r>
      <w:rPr>
        <w:rFonts w:ascii="Avenir" w:eastAsia="Avenir" w:hAnsi="Avenir" w:cs="Avenir"/>
        <w:b/>
        <w:i/>
        <w:sz w:val="25"/>
        <w:szCs w:val="25"/>
      </w:rPr>
      <w:t>October 26</w:t>
    </w:r>
    <w:r>
      <w:rPr>
        <w:rFonts w:ascii="Avenir" w:eastAsia="Avenir" w:hAnsi="Avenir" w:cs="Avenir"/>
        <w:b/>
        <w:i/>
        <w:color w:val="000000"/>
        <w:sz w:val="25"/>
        <w:szCs w:val="25"/>
      </w:rPr>
      <w:t>, 2020</w:t>
    </w:r>
  </w:p>
  <w:p w14:paraId="315580E4" w14:textId="77777777" w:rsidR="000B3EEB" w:rsidRDefault="00160A9A">
    <w:pPr>
      <w:spacing w:before="160"/>
      <w:jc w:val="center"/>
      <w:rPr>
        <w:rFonts w:ascii="Avenir" w:eastAsia="Avenir" w:hAnsi="Avenir" w:cs="Avenir"/>
        <w:b/>
        <w:sz w:val="25"/>
        <w:szCs w:val="25"/>
      </w:rPr>
    </w:pPr>
    <w:r>
      <w:rPr>
        <w:rFonts w:ascii="Avenir" w:eastAsia="Avenir" w:hAnsi="Avenir" w:cs="Avenir"/>
        <w:b/>
        <w:sz w:val="25"/>
        <w:szCs w:val="25"/>
      </w:rPr>
      <w:t>Resource List</w:t>
    </w:r>
  </w:p>
  <w:p w14:paraId="383E7109" w14:textId="77777777" w:rsidR="000B3EEB" w:rsidRDefault="000B3EEB">
    <w:pPr>
      <w:spacing w:before="160"/>
      <w:jc w:val="center"/>
      <w:rPr>
        <w:rFonts w:ascii="Avenir" w:eastAsia="Avenir" w:hAnsi="Avenir" w:cs="Avenir"/>
        <w:b/>
        <w:sz w:val="25"/>
        <w:szCs w:val="2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D5CC0" w14:textId="77777777" w:rsidR="001E16C8" w:rsidRDefault="001E1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5070B"/>
    <w:multiLevelType w:val="multilevel"/>
    <w:tmpl w:val="E592A9B0"/>
    <w:lvl w:ilvl="0">
      <w:start w:val="1"/>
      <w:numFmt w:val="decimal"/>
      <w:lvlText w:val="%1."/>
      <w:lvlJc w:val="left"/>
      <w:pPr>
        <w:ind w:left="108" w:hanging="360"/>
      </w:pPr>
    </w:lvl>
    <w:lvl w:ilvl="1">
      <w:start w:val="1"/>
      <w:numFmt w:val="bullet"/>
      <w:lvlText w:val="○"/>
      <w:lvlJc w:val="left"/>
      <w:pPr>
        <w:ind w:left="828" w:hanging="360"/>
      </w:pPr>
    </w:lvl>
    <w:lvl w:ilvl="2">
      <w:start w:val="1"/>
      <w:numFmt w:val="lowerRoman"/>
      <w:lvlText w:val="%3."/>
      <w:lvlJc w:val="right"/>
      <w:pPr>
        <w:ind w:left="1548" w:hanging="180"/>
      </w:pPr>
    </w:lvl>
    <w:lvl w:ilvl="3">
      <w:start w:val="1"/>
      <w:numFmt w:val="decimal"/>
      <w:lvlText w:val="%4."/>
      <w:lvlJc w:val="left"/>
      <w:pPr>
        <w:ind w:left="2268" w:hanging="360"/>
      </w:pPr>
    </w:lvl>
    <w:lvl w:ilvl="4">
      <w:start w:val="1"/>
      <w:numFmt w:val="lowerLetter"/>
      <w:lvlText w:val="%5."/>
      <w:lvlJc w:val="left"/>
      <w:pPr>
        <w:ind w:left="2988" w:hanging="360"/>
      </w:pPr>
    </w:lvl>
    <w:lvl w:ilvl="5">
      <w:start w:val="1"/>
      <w:numFmt w:val="lowerRoman"/>
      <w:lvlText w:val="%6."/>
      <w:lvlJc w:val="right"/>
      <w:pPr>
        <w:ind w:left="3708" w:hanging="180"/>
      </w:pPr>
    </w:lvl>
    <w:lvl w:ilvl="6">
      <w:start w:val="1"/>
      <w:numFmt w:val="decimal"/>
      <w:lvlText w:val="%7."/>
      <w:lvlJc w:val="left"/>
      <w:pPr>
        <w:ind w:left="4428" w:hanging="360"/>
      </w:pPr>
    </w:lvl>
    <w:lvl w:ilvl="7">
      <w:start w:val="1"/>
      <w:numFmt w:val="lowerLetter"/>
      <w:lvlText w:val="%8."/>
      <w:lvlJc w:val="left"/>
      <w:pPr>
        <w:ind w:left="5148" w:hanging="360"/>
      </w:pPr>
    </w:lvl>
    <w:lvl w:ilvl="8">
      <w:start w:val="1"/>
      <w:numFmt w:val="lowerRoman"/>
      <w:lvlText w:val="%9."/>
      <w:lvlJc w:val="right"/>
      <w:pPr>
        <w:ind w:left="5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EB"/>
    <w:rsid w:val="000B3EEB"/>
    <w:rsid w:val="00157A83"/>
    <w:rsid w:val="00160A9A"/>
    <w:rsid w:val="001E16C8"/>
    <w:rsid w:val="003578CB"/>
    <w:rsid w:val="004F19C0"/>
    <w:rsid w:val="006F3A69"/>
    <w:rsid w:val="009346A3"/>
    <w:rsid w:val="00A0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547F1"/>
  <w15:docId w15:val="{43A46BDE-29AF-1B47-B809-63651A50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C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7C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9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053"/>
  </w:style>
  <w:style w:type="paragraph" w:styleId="Footer">
    <w:name w:val="footer"/>
    <w:basedOn w:val="Normal"/>
    <w:link w:val="Foot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053"/>
  </w:style>
  <w:style w:type="paragraph" w:styleId="NormalWeb">
    <w:name w:val="Normal (Web)"/>
    <w:basedOn w:val="Normal"/>
    <w:uiPriority w:val="99"/>
    <w:unhideWhenUsed/>
    <w:rsid w:val="000800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7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C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7C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keep-capturesub-title">
    <w:name w:val="keep-capture__sub-title"/>
    <w:basedOn w:val="Normal"/>
    <w:rsid w:val="00057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7C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rosubtitle">
    <w:name w:val="hero__subtitle"/>
    <w:basedOn w:val="Normal"/>
    <w:rsid w:val="00057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196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99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_filler@ocali.org" TargetMode="External"/><Relationship Id="rId13" Type="http://schemas.openxmlformats.org/officeDocument/2006/relationships/hyperlink" Target="https://www.transitioncoalition.org/wp-content/originalSiteAssets/files/docs/TranAssessSDPlanningform11-21-20091259891426.pdf" TargetMode="External"/><Relationship Id="rId18" Type="http://schemas.openxmlformats.org/officeDocument/2006/relationships/hyperlink" Target="https://www.ocali.org/up_doc/ELSA-For-Professionals-06-30-2020.pd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hioemploymentfirst.org/up_doc/Career_Discovery_Tools_Updated.pdf" TargetMode="External"/><Relationship Id="rId17" Type="http://schemas.openxmlformats.org/officeDocument/2006/relationships/hyperlink" Target="https://ohioemploymentfirst.org/up_doc/Collecting-and-Analyzing-Youth-Performance-Data.pdf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HdlHBUzJWzULouAApkRYArKqp8cifyll/view?usp=sharing" TargetMode="External"/><Relationship Id="rId20" Type="http://schemas.openxmlformats.org/officeDocument/2006/relationships/hyperlink" Target="https://dodd.ohio.gov/wps/portal/gov/dodd/about-us/training/department-provided-training/meaningful-day-recorded-webina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ikwcarter.com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transitionta.org/sites/default/files/Career%20Preferences-1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ohioemploymentfirst.org/view.php?nav_id=484" TargetMode="External"/><Relationship Id="rId19" Type="http://schemas.openxmlformats.org/officeDocument/2006/relationships/hyperlink" Target="http://www.lifecoursetools.com/lifecourse-library/foundational-tools/family-perspectiv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e_Beck@ocali.org" TargetMode="External"/><Relationship Id="rId14" Type="http://schemas.openxmlformats.org/officeDocument/2006/relationships/hyperlink" Target="https://www.transitioncoalition.org/wp-content/originalSiteAssets/files/docs/TranAssessSDPlanningform11-21-20091259891426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ioemploymentfirs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Xut8mKtFMBadckB1F37JAE0+Ag==">AMUW2mUkYceQE3zTHlscAUWPf/+bQESvxjt1Ym4ASZ3Mgyhz66sfWIX1DeObrjQM04iqNpZq3cPQcmbDKfXZXC3CggoEsFjSW23I3CoWMgRJy87zyLxF4PI=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Dobush</dc:creator>
  <cp:lastModifiedBy>Chris Filler</cp:lastModifiedBy>
  <cp:revision>2</cp:revision>
  <dcterms:created xsi:type="dcterms:W3CDTF">2020-11-11T18:42:00Z</dcterms:created>
  <dcterms:modified xsi:type="dcterms:W3CDTF">2020-11-11T18:42:00Z</dcterms:modified>
</cp:coreProperties>
</file>